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20" w:rsidRPr="00EB2F5B" w:rsidRDefault="00466620" w:rsidP="00466620">
      <w:pPr>
        <w:adjustRightInd w:val="0"/>
        <w:snapToGrid w:val="0"/>
        <w:spacing w:line="355" w:lineRule="auto"/>
        <w:ind w:firstLineChars="4" w:firstLine="18"/>
        <w:jc w:val="center"/>
        <w:rPr>
          <w:rFonts w:ascii="方正小标宋_GBK" w:eastAsia="方正小标宋_GBK"/>
          <w:snapToGrid w:val="0"/>
          <w:sz w:val="44"/>
          <w:szCs w:val="44"/>
        </w:rPr>
      </w:pPr>
      <w:r w:rsidRPr="00EB2F5B">
        <w:rPr>
          <w:rFonts w:ascii="方正小标宋_GBK" w:eastAsia="方正小标宋_GBK" w:hint="eastAsia"/>
          <w:snapToGrid w:val="0"/>
          <w:sz w:val="44"/>
          <w:szCs w:val="44"/>
        </w:rPr>
        <w:t>住房公积金网上</w:t>
      </w:r>
      <w:r>
        <w:rPr>
          <w:rFonts w:ascii="方正小标宋_GBK" w:eastAsia="方正小标宋_GBK" w:hint="eastAsia"/>
          <w:snapToGrid w:val="0"/>
          <w:sz w:val="44"/>
          <w:szCs w:val="44"/>
        </w:rPr>
        <w:t>业务大厅</w:t>
      </w:r>
      <w:r w:rsidRPr="00EB2F5B">
        <w:rPr>
          <w:rFonts w:ascii="方正小标宋_GBK" w:eastAsia="方正小标宋_GBK" w:hint="eastAsia"/>
          <w:snapToGrid w:val="0"/>
          <w:sz w:val="44"/>
          <w:szCs w:val="44"/>
        </w:rPr>
        <w:t>单位业务指南</w:t>
      </w:r>
    </w:p>
    <w:p w:rsidR="00466620" w:rsidRPr="00D46523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outlineLvl w:val="0"/>
        <w:rPr>
          <w:rFonts w:ascii="黑体" w:eastAsia="黑体" w:hAnsi="黑体" w:cs="Arial"/>
          <w:color w:val="000000"/>
          <w:sz w:val="32"/>
          <w:szCs w:val="32"/>
        </w:rPr>
      </w:pPr>
      <w:r w:rsidRPr="00D46523">
        <w:rPr>
          <w:rFonts w:ascii="黑体" w:eastAsia="黑体" w:hAnsi="黑体" w:cs="Arial" w:hint="eastAsia"/>
          <w:color w:val="000000"/>
          <w:sz w:val="32"/>
          <w:szCs w:val="32"/>
        </w:rPr>
        <w:t>一、办理对象</w:t>
      </w:r>
    </w:p>
    <w:p w:rsidR="00466620" w:rsidRPr="0085591F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在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市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公积金中心设立住房公积金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缴存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账户的单位。</w:t>
      </w:r>
    </w:p>
    <w:p w:rsidR="00466620" w:rsidRPr="00D46523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outlineLvl w:val="0"/>
        <w:rPr>
          <w:rFonts w:ascii="黑体" w:eastAsia="黑体" w:hAnsi="黑体" w:cs="Arial"/>
          <w:color w:val="000000"/>
          <w:sz w:val="32"/>
          <w:szCs w:val="32"/>
        </w:rPr>
      </w:pPr>
      <w:r w:rsidRPr="00D46523">
        <w:rPr>
          <w:rFonts w:ascii="黑体" w:eastAsia="黑体" w:hAnsi="黑体" w:cs="Arial" w:hint="eastAsia"/>
          <w:color w:val="000000"/>
          <w:sz w:val="32"/>
          <w:szCs w:val="32"/>
        </w:rPr>
        <w:t>二、业务范围</w:t>
      </w:r>
    </w:p>
    <w:p w:rsidR="00466620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办理本单位住房公积金职工账户设立、封存、启封、转移、基数调整、汇缴、补缴、账户信息查询等业务。</w:t>
      </w:r>
    </w:p>
    <w:p w:rsidR="00466620" w:rsidRPr="00D46523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黑体" w:eastAsia="黑体" w:hAnsi="黑体" w:cs="宋体"/>
          <w:color w:val="000000"/>
          <w:sz w:val="32"/>
          <w:szCs w:val="32"/>
        </w:rPr>
      </w:pPr>
      <w:r w:rsidRPr="00D46523">
        <w:rPr>
          <w:rFonts w:ascii="黑体" w:eastAsia="黑体" w:hAnsi="黑体" w:cs="宋体" w:hint="eastAsia"/>
          <w:color w:val="000000"/>
          <w:sz w:val="32"/>
          <w:szCs w:val="32"/>
        </w:rPr>
        <w:t>三、开通网上业务的办理要件</w:t>
      </w:r>
    </w:p>
    <w:p w:rsidR="00466620" w:rsidRPr="0085591F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CA7BEA">
        <w:rPr>
          <w:rFonts w:ascii="仿宋_GB2312" w:eastAsia="仿宋_GB2312" w:hAnsi="宋体" w:cs="仿宋_GB2312" w:hint="eastAsia"/>
          <w:color w:val="000000"/>
          <w:sz w:val="32"/>
          <w:szCs w:val="32"/>
        </w:rPr>
        <w:t>攀枝花市住房公积金网上业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务大</w:t>
      </w:r>
      <w:r w:rsidRPr="00CA7BEA">
        <w:rPr>
          <w:rFonts w:ascii="仿宋_GB2312" w:eastAsia="仿宋_GB2312" w:hAnsi="宋体" w:cs="仿宋_GB2312" w:hint="eastAsia"/>
          <w:color w:val="000000"/>
          <w:sz w:val="32"/>
          <w:szCs w:val="32"/>
        </w:rPr>
        <w:t>厅开通申请表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、</w:t>
      </w:r>
      <w:r w:rsidRPr="0085591F">
        <w:rPr>
          <w:rFonts w:ascii="仿宋_GB2312" w:eastAsia="仿宋_GB2312" w:hAnsi="宋体" w:cs="仿宋_GB2312" w:hint="eastAsia"/>
          <w:color w:val="000000"/>
          <w:sz w:val="32"/>
          <w:szCs w:val="32"/>
        </w:rPr>
        <w:t>住房公积金网上业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务大</w:t>
      </w:r>
      <w:r w:rsidRPr="0085591F">
        <w:rPr>
          <w:rFonts w:ascii="仿宋_GB2312" w:eastAsia="仿宋_GB2312" w:hAnsi="宋体" w:cs="仿宋_GB2312" w:hint="eastAsia"/>
          <w:color w:val="000000"/>
          <w:sz w:val="32"/>
          <w:szCs w:val="32"/>
        </w:rPr>
        <w:t>厅使用协议、法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定代表人</w:t>
      </w:r>
      <w:r w:rsidRPr="0085591F">
        <w:rPr>
          <w:rFonts w:ascii="仿宋_GB2312" w:eastAsia="仿宋_GB2312" w:hAnsi="宋体" w:cs="仿宋_GB2312" w:hint="eastAsia"/>
          <w:color w:val="000000"/>
          <w:sz w:val="32"/>
          <w:szCs w:val="32"/>
        </w:rPr>
        <w:t>身份证复印件、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开通该业务的</w:t>
      </w:r>
      <w:r w:rsidRPr="0085591F">
        <w:rPr>
          <w:rFonts w:ascii="仿宋_GB2312" w:eastAsia="仿宋_GB2312" w:hAnsi="宋体" w:cs="仿宋_GB2312" w:hint="eastAsia"/>
          <w:color w:val="000000"/>
          <w:sz w:val="32"/>
          <w:szCs w:val="32"/>
        </w:rPr>
        <w:t>经办人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员和网上操作人员的</w:t>
      </w:r>
      <w:r w:rsidRPr="0085591F">
        <w:rPr>
          <w:rFonts w:ascii="仿宋_GB2312" w:eastAsia="仿宋_GB2312" w:hAnsi="宋体" w:cs="仿宋_GB2312" w:hint="eastAsia"/>
          <w:color w:val="000000"/>
          <w:sz w:val="32"/>
          <w:szCs w:val="32"/>
        </w:rPr>
        <w:t>身份证复印件、统一信用社会代码证复印件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。以上</w:t>
      </w:r>
      <w:r w:rsidRPr="0085591F">
        <w:rPr>
          <w:rFonts w:ascii="仿宋_GB2312" w:eastAsia="仿宋_GB2312" w:hAnsi="宋体" w:cs="仿宋_GB2312" w:hint="eastAsia"/>
          <w:color w:val="000000"/>
          <w:sz w:val="32"/>
          <w:szCs w:val="32"/>
        </w:rPr>
        <w:t>复印件需加盖单位公章。</w:t>
      </w:r>
    </w:p>
    <w:p w:rsidR="00466620" w:rsidRPr="00D46523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outlineLvl w:val="0"/>
        <w:rPr>
          <w:rFonts w:ascii="黑体" w:eastAsia="黑体" w:hAnsi="黑体" w:cs="Arial"/>
          <w:color w:val="000000"/>
          <w:sz w:val="32"/>
          <w:szCs w:val="32"/>
        </w:rPr>
      </w:pPr>
      <w:r w:rsidRPr="00D46523">
        <w:rPr>
          <w:rFonts w:ascii="黑体" w:eastAsia="黑体" w:hAnsi="黑体" w:cs="Arial" w:hint="eastAsia"/>
          <w:color w:val="000000"/>
          <w:sz w:val="32"/>
          <w:szCs w:val="32"/>
        </w:rPr>
        <w:t>四、办理流程</w:t>
      </w:r>
    </w:p>
    <w:p w:rsidR="00466620" w:rsidRPr="00D46523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仿宋_GB2312" w:cs="仿宋_GB2312"/>
          <w:sz w:val="32"/>
          <w:szCs w:val="32"/>
        </w:rPr>
      </w:pPr>
      <w:r w:rsidRPr="00D46523">
        <w:rPr>
          <w:rFonts w:ascii="楷体_GB2312" w:eastAsia="楷体_GB2312" w:hAnsi="仿宋_GB2312" w:cs="仿宋_GB2312" w:hint="eastAsia"/>
          <w:sz w:val="32"/>
          <w:szCs w:val="32"/>
        </w:rPr>
        <w:t>（一）网上业务开通流程</w:t>
      </w:r>
    </w:p>
    <w:p w:rsidR="00466620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单位经办人员</w:t>
      </w:r>
      <w:r w:rsidRPr="0085591F">
        <w:rPr>
          <w:rFonts w:ascii="仿宋_GB2312" w:eastAsia="仿宋_GB2312" w:hAnsi="仿宋_GB2312" w:cs="仿宋_GB2312" w:hint="eastAsia"/>
          <w:sz w:val="32"/>
          <w:szCs w:val="32"/>
        </w:rPr>
        <w:t>持所需资料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 w:rsidRPr="0085591F">
        <w:rPr>
          <w:rFonts w:ascii="仿宋_GB2312" w:eastAsia="仿宋_GB2312" w:hAnsi="仿宋_GB2312" w:cs="仿宋_GB2312" w:hint="eastAsia"/>
          <w:sz w:val="32"/>
          <w:szCs w:val="32"/>
        </w:rPr>
        <w:t>市公积金中心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服务窗口，签订《住房公积金网上</w:t>
      </w:r>
      <w:r w:rsidRPr="0085591F">
        <w:rPr>
          <w:rFonts w:ascii="仿宋_GB2312" w:eastAsia="仿宋_GB2312" w:hAnsi="仿宋_GB2312" w:cs="仿宋_GB2312" w:hint="eastAsia"/>
          <w:sz w:val="32"/>
          <w:szCs w:val="32"/>
        </w:rPr>
        <w:t>业</w:t>
      </w:r>
      <w:r>
        <w:rPr>
          <w:rFonts w:ascii="仿宋_GB2312" w:eastAsia="仿宋_GB2312" w:hAnsi="仿宋_GB2312" w:cs="仿宋_GB2312" w:hint="eastAsia"/>
          <w:sz w:val="32"/>
          <w:szCs w:val="32"/>
        </w:rPr>
        <w:t>务大</w:t>
      </w:r>
      <w:r w:rsidRPr="0085591F">
        <w:rPr>
          <w:rFonts w:ascii="仿宋_GB2312" w:eastAsia="仿宋_GB2312" w:hAnsi="仿宋_GB2312" w:cs="仿宋_GB2312" w:hint="eastAsia"/>
          <w:sz w:val="32"/>
          <w:szCs w:val="32"/>
        </w:rPr>
        <w:t>厅使用协议》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85591F">
        <w:rPr>
          <w:rFonts w:ascii="仿宋_GB2312" w:eastAsia="仿宋_GB2312" w:hAnsi="仿宋_GB2312" w:cs="仿宋_GB2312" w:hint="eastAsia"/>
          <w:sz w:val="32"/>
          <w:szCs w:val="32"/>
        </w:rPr>
        <w:t>取得</w:t>
      </w:r>
      <w:r>
        <w:rPr>
          <w:rFonts w:ascii="仿宋_GB2312" w:eastAsia="仿宋_GB2312" w:hAnsi="仿宋_GB2312" w:cs="仿宋_GB2312" w:hint="eastAsia"/>
          <w:sz w:val="32"/>
          <w:szCs w:val="32"/>
        </w:rPr>
        <w:t>网上操作人员的</w:t>
      </w:r>
      <w:r w:rsidRPr="0085591F">
        <w:rPr>
          <w:rFonts w:ascii="仿宋_GB2312" w:eastAsia="仿宋_GB2312" w:hAnsi="仿宋_GB2312" w:cs="仿宋_GB2312" w:hint="eastAsia"/>
          <w:sz w:val="32"/>
          <w:szCs w:val="32"/>
        </w:rPr>
        <w:t>身份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授权（用户名、密码或数字证书）后完成开通手续。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466620" w:rsidRPr="00D46523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仿宋_GB2312" w:cs="仿宋_GB2312"/>
          <w:sz w:val="32"/>
          <w:szCs w:val="32"/>
        </w:rPr>
      </w:pPr>
      <w:r w:rsidRPr="00D46523">
        <w:rPr>
          <w:rFonts w:ascii="楷体_GB2312" w:eastAsia="楷体_GB2312" w:hAnsi="仿宋_GB2312" w:cs="仿宋_GB2312" w:hint="eastAsia"/>
          <w:sz w:val="32"/>
          <w:szCs w:val="32"/>
        </w:rPr>
        <w:t>（二）网上业务办理流程</w:t>
      </w:r>
    </w:p>
    <w:p w:rsidR="00466620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网上操作人员持身份授权（用户名、密码或数字证书）登录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攀枝花市住房公积金网站（</w:t>
      </w:r>
      <w:hyperlink r:id="rId6" w:history="1">
        <w:r w:rsidRPr="0085591F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www.pzhgjj.com</w:t>
        </w:r>
      </w:hyperlink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）的“网上大厅”，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按照屏幕提示和《网厅单位业务操作手册》进行操作。</w:t>
      </w:r>
    </w:p>
    <w:p w:rsidR="00466620" w:rsidRPr="00D46523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outlineLvl w:val="0"/>
        <w:rPr>
          <w:rFonts w:ascii="黑体" w:eastAsia="黑体" w:hAnsi="黑体" w:cs="Arial"/>
          <w:color w:val="000000"/>
          <w:sz w:val="32"/>
          <w:szCs w:val="32"/>
        </w:rPr>
      </w:pPr>
      <w:r w:rsidRPr="00D46523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五、汇（补）缴资金结算方式</w:t>
      </w:r>
    </w:p>
    <w:p w:rsidR="00466620" w:rsidRPr="0085591F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缴存单位可自主选择下列住房公积金资金结算方式之一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进行汇（补）缴资金结算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：</w:t>
      </w:r>
    </w:p>
    <w:p w:rsidR="00466620" w:rsidRPr="00D46523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仿宋_GB2312" w:cs="仿宋_GB2312"/>
          <w:sz w:val="32"/>
          <w:szCs w:val="32"/>
        </w:rPr>
      </w:pPr>
      <w:r w:rsidRPr="00D46523">
        <w:rPr>
          <w:rFonts w:ascii="楷体_GB2312" w:eastAsia="楷体_GB2312" w:hAnsi="仿宋_GB2312" w:cs="仿宋_GB2312" w:hint="eastAsia"/>
          <w:sz w:val="32"/>
          <w:szCs w:val="32"/>
        </w:rPr>
        <w:t>（一）委托收款结算方式</w:t>
      </w:r>
    </w:p>
    <w:p w:rsidR="00466620" w:rsidRPr="00DE6159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sz w:val="32"/>
          <w:szCs w:val="32"/>
        </w:rPr>
      </w:pPr>
      <w:r w:rsidRPr="00DE6159">
        <w:rPr>
          <w:rFonts w:ascii="仿宋_GB2312" w:eastAsia="仿宋_GB2312" w:hAnsi="宋体" w:cs="Arial" w:hint="eastAsia"/>
          <w:color w:val="000000"/>
          <w:sz w:val="32"/>
          <w:szCs w:val="32"/>
        </w:rPr>
        <w:t>缴存单位通过网上业务平台办理住房公积金业务变更后，可通过人民银行同城交换系统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委托公积金中心从其结算账户中支付汇</w:t>
      </w:r>
      <w:r>
        <w:rPr>
          <w:rFonts w:ascii="仿宋_GB2312" w:eastAsia="仿宋_GB2312" w:hAnsi="宋体" w:cs="Arial" w:hint="eastAsia"/>
          <w:sz w:val="32"/>
          <w:szCs w:val="32"/>
        </w:rPr>
        <w:t>（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补</w:t>
      </w:r>
      <w:r>
        <w:rPr>
          <w:rFonts w:ascii="仿宋_GB2312" w:eastAsia="仿宋_GB2312" w:hAnsi="宋体" w:cs="Arial" w:hint="eastAsia"/>
          <w:sz w:val="32"/>
          <w:szCs w:val="32"/>
        </w:rPr>
        <w:t>）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缴资金（即“住房公积金汇缴托收”）。</w:t>
      </w:r>
    </w:p>
    <w:p w:rsidR="00466620" w:rsidRPr="00D46523" w:rsidRDefault="00466620" w:rsidP="00466620">
      <w:pPr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仿宋_GB2312" w:cs="仿宋_GB2312"/>
          <w:sz w:val="32"/>
          <w:szCs w:val="32"/>
        </w:rPr>
      </w:pPr>
      <w:r w:rsidRPr="00D46523">
        <w:rPr>
          <w:rFonts w:ascii="楷体_GB2312" w:eastAsia="楷体_GB2312" w:hAnsi="仿宋_GB2312" w:cs="仿宋_GB2312" w:hint="eastAsia"/>
          <w:sz w:val="32"/>
          <w:szCs w:val="32"/>
        </w:rPr>
        <w:t>（二）现金、转账结算方式</w:t>
      </w:r>
    </w:p>
    <w:p w:rsidR="00466620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缴存单位通过网上业务平台办理住房公积金业务变更后，可采用现行的现金、转账方式结算资金。</w:t>
      </w:r>
    </w:p>
    <w:p w:rsidR="00466620" w:rsidRPr="00DE6159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sz w:val="32"/>
          <w:szCs w:val="32"/>
        </w:rPr>
      </w:pPr>
      <w:r w:rsidRPr="00DE6159">
        <w:rPr>
          <w:rFonts w:ascii="仿宋_GB2312" w:eastAsia="仿宋_GB2312" w:hAnsi="宋体" w:cs="Arial" w:hint="eastAsia"/>
          <w:sz w:val="32"/>
          <w:szCs w:val="32"/>
        </w:rPr>
        <w:t>建议</w:t>
      </w:r>
      <w:r>
        <w:rPr>
          <w:rFonts w:ascii="仿宋_GB2312" w:eastAsia="仿宋_GB2312" w:hAnsi="宋体" w:cs="Arial" w:hint="eastAsia"/>
          <w:sz w:val="32"/>
          <w:szCs w:val="32"/>
        </w:rPr>
        <w:t>企业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使用住房公积金汇缴托收结算方式。没有开通托收业务的，</w:t>
      </w:r>
      <w:r>
        <w:rPr>
          <w:rFonts w:ascii="仿宋_GB2312" w:eastAsia="仿宋_GB2312" w:hAnsi="宋体" w:cs="Arial" w:hint="eastAsia"/>
          <w:sz w:val="32"/>
          <w:szCs w:val="32"/>
        </w:rPr>
        <w:t>可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到</w:t>
      </w:r>
      <w:r>
        <w:rPr>
          <w:rFonts w:ascii="仿宋_GB2312" w:eastAsia="仿宋_GB2312" w:hAnsi="宋体" w:cs="Arial" w:hint="eastAsia"/>
          <w:sz w:val="32"/>
          <w:szCs w:val="32"/>
        </w:rPr>
        <w:t>市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公积金</w:t>
      </w:r>
      <w:r>
        <w:rPr>
          <w:rFonts w:ascii="仿宋_GB2312" w:eastAsia="仿宋_GB2312" w:hAnsi="宋体" w:cs="Arial" w:hint="eastAsia"/>
          <w:sz w:val="32"/>
          <w:szCs w:val="32"/>
        </w:rPr>
        <w:t>中心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各</w:t>
      </w:r>
      <w:r>
        <w:rPr>
          <w:rFonts w:ascii="仿宋_GB2312" w:eastAsia="仿宋_GB2312" w:hAnsi="宋体" w:cs="Arial" w:hint="eastAsia"/>
          <w:sz w:val="32"/>
          <w:szCs w:val="32"/>
        </w:rPr>
        <w:t>服务窗口</w:t>
      </w:r>
      <w:r w:rsidRPr="00DE6159">
        <w:rPr>
          <w:rFonts w:ascii="仿宋_GB2312" w:eastAsia="仿宋_GB2312" w:hAnsi="宋体" w:cs="Arial" w:hint="eastAsia"/>
          <w:sz w:val="32"/>
          <w:szCs w:val="32"/>
        </w:rPr>
        <w:t>办理托收手续。</w:t>
      </w:r>
    </w:p>
    <w:p w:rsidR="00466620" w:rsidRPr="00D46523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outlineLvl w:val="0"/>
        <w:rPr>
          <w:rFonts w:ascii="黑体" w:eastAsia="黑体" w:hAnsi="黑体" w:cs="Arial"/>
          <w:color w:val="000000"/>
          <w:sz w:val="32"/>
          <w:szCs w:val="32"/>
        </w:rPr>
      </w:pPr>
      <w:r w:rsidRPr="00D46523">
        <w:rPr>
          <w:rFonts w:ascii="黑体" w:eastAsia="黑体" w:hAnsi="黑体" w:cs="Arial" w:hint="eastAsia"/>
          <w:color w:val="000000"/>
          <w:sz w:val="32"/>
          <w:szCs w:val="32"/>
        </w:rPr>
        <w:t>六、注意事项</w:t>
      </w:r>
    </w:p>
    <w:p w:rsidR="00466620" w:rsidRPr="0069418A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宋体" w:cs="Arial"/>
          <w:color w:val="000000"/>
          <w:sz w:val="32"/>
          <w:szCs w:val="32"/>
        </w:rPr>
      </w:pPr>
      <w:r w:rsidRPr="0069418A">
        <w:rPr>
          <w:rFonts w:ascii="楷体_GB2312" w:eastAsia="楷体_GB2312" w:hAnsi="宋体" w:cs="Arial" w:hint="eastAsia"/>
          <w:color w:val="000000"/>
          <w:sz w:val="32"/>
          <w:szCs w:val="32"/>
        </w:rPr>
        <w:t>（一）</w:t>
      </w:r>
      <w:r>
        <w:rPr>
          <w:rFonts w:ascii="楷体_GB2312" w:eastAsia="楷体_GB2312" w:hAnsi="宋体" w:cs="Arial" w:hint="eastAsia"/>
          <w:color w:val="000000"/>
          <w:sz w:val="32"/>
          <w:szCs w:val="32"/>
        </w:rPr>
        <w:t>该</w:t>
      </w:r>
      <w:r w:rsidRPr="0069418A">
        <w:rPr>
          <w:rFonts w:ascii="楷体_GB2312" w:eastAsia="楷体_GB2312" w:hAnsi="宋体" w:cs="Arial" w:hint="eastAsia"/>
          <w:color w:val="000000"/>
          <w:sz w:val="32"/>
          <w:szCs w:val="32"/>
        </w:rPr>
        <w:t>业务仅限于办理本单位的住房公积金单位业务。</w:t>
      </w:r>
    </w:p>
    <w:p w:rsidR="00466620" w:rsidRPr="0085591F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缴存单位应指定专人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操作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网上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单位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业务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，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妥善保管和使用身份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授权信息，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保证数据资料的真实、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完整、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准确、合法，避免泄漏密码、泄露职工个人信息等。</w:t>
      </w:r>
    </w:p>
    <w:p w:rsidR="00466620" w:rsidRPr="0069418A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宋体" w:cs="Arial"/>
          <w:color w:val="000000"/>
          <w:sz w:val="32"/>
          <w:szCs w:val="32"/>
        </w:rPr>
      </w:pPr>
      <w:r w:rsidRPr="0069418A">
        <w:rPr>
          <w:rFonts w:ascii="楷体_GB2312" w:eastAsia="楷体_GB2312" w:hAnsi="宋体" w:cs="Arial" w:hint="eastAsia"/>
          <w:color w:val="000000"/>
          <w:sz w:val="32"/>
          <w:szCs w:val="32"/>
        </w:rPr>
        <w:t>（二）网上业务的办理时间</w:t>
      </w:r>
    </w:p>
    <w:p w:rsidR="00466620" w:rsidRPr="0085591F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sz w:val="32"/>
          <w:szCs w:val="32"/>
        </w:rPr>
        <w:t>任何时间、任何时段均可办理。</w:t>
      </w:r>
    </w:p>
    <w:p w:rsidR="00466620" w:rsidRPr="0069418A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宋体" w:cs="Arial"/>
          <w:color w:val="000000"/>
          <w:sz w:val="32"/>
          <w:szCs w:val="32"/>
        </w:rPr>
      </w:pPr>
      <w:r w:rsidRPr="0069418A">
        <w:rPr>
          <w:rFonts w:ascii="楷体_GB2312" w:eastAsia="楷体_GB2312" w:hAnsi="宋体" w:cs="Arial" w:hint="eastAsia"/>
          <w:color w:val="000000"/>
          <w:sz w:val="32"/>
          <w:szCs w:val="32"/>
        </w:rPr>
        <w:t>（三）网上业务的档案资料</w:t>
      </w:r>
    </w:p>
    <w:p w:rsidR="00466620" w:rsidRPr="0085591F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仿宋_GB2312" w:eastAsia="仿宋_GB2312" w:hAnsi="宋体" w:cs="Arial"/>
          <w:color w:val="000000"/>
          <w:sz w:val="32"/>
          <w:szCs w:val="32"/>
        </w:rPr>
      </w:pP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lastRenderedPageBreak/>
        <w:t>凡缴存单位正常办理网上业务时，只需上传相应的电子材料，不需要向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市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公积金中心业务受理点提交纸质材料。为方便留档和查询，缴存单位应自行保留相关纸质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档案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材料。已开通网上业务的缴存单位，如到</w:t>
      </w:r>
      <w:r>
        <w:rPr>
          <w:rFonts w:ascii="仿宋_GB2312" w:eastAsia="仿宋_GB2312" w:hAnsi="宋体" w:cs="Arial" w:hint="eastAsia"/>
          <w:color w:val="000000"/>
          <w:sz w:val="32"/>
          <w:szCs w:val="32"/>
        </w:rPr>
        <w:t>市</w:t>
      </w:r>
      <w:r w:rsidRPr="0085591F">
        <w:rPr>
          <w:rFonts w:ascii="仿宋_GB2312" w:eastAsia="仿宋_GB2312" w:hAnsi="宋体" w:cs="Arial" w:hint="eastAsia"/>
          <w:color w:val="000000"/>
          <w:sz w:val="32"/>
          <w:szCs w:val="32"/>
        </w:rPr>
        <w:t>公积金中心业务受理点柜面办理职工账户设立、封存、启封、转移、缴存等业务，仍需按规定提供相关的纸质材料。</w:t>
      </w:r>
    </w:p>
    <w:p w:rsidR="00466620" w:rsidRDefault="00466620" w:rsidP="00466620">
      <w:pPr>
        <w:widowControl/>
        <w:adjustRightInd w:val="0"/>
        <w:snapToGrid w:val="0"/>
        <w:spacing w:line="355" w:lineRule="auto"/>
        <w:ind w:firstLine="640"/>
        <w:jc w:val="both"/>
        <w:rPr>
          <w:rFonts w:ascii="楷体_GB2312" w:eastAsia="楷体_GB2312" w:hAnsi="宋体" w:cs="Arial"/>
          <w:sz w:val="32"/>
          <w:szCs w:val="32"/>
        </w:rPr>
      </w:pPr>
      <w:r w:rsidRPr="0069418A">
        <w:rPr>
          <w:rFonts w:ascii="楷体_GB2312" w:eastAsia="楷体_GB2312" w:hAnsi="宋体" w:cs="Arial" w:hint="eastAsia"/>
          <w:sz w:val="32"/>
          <w:szCs w:val="32"/>
        </w:rPr>
        <w:t>（四）网上业务信息变更</w:t>
      </w:r>
    </w:p>
    <w:p w:rsidR="0053632B" w:rsidRDefault="00466620" w:rsidP="00466620">
      <w:pPr>
        <w:ind w:firstLine="640"/>
      </w:pPr>
      <w:r w:rsidRPr="0069418A">
        <w:rPr>
          <w:rFonts w:ascii="仿宋_GB2312" w:eastAsia="仿宋_GB2312" w:hAnsi="仿宋_GB2312" w:cs="仿宋_GB2312" w:hint="eastAsia"/>
          <w:sz w:val="32"/>
          <w:szCs w:val="32"/>
        </w:rPr>
        <w:t>网上业务信息有变更的，如网上</w:t>
      </w:r>
      <w:r>
        <w:rPr>
          <w:rFonts w:ascii="仿宋_GB2312" w:eastAsia="仿宋_GB2312" w:hAnsi="仿宋_GB2312" w:cs="仿宋_GB2312" w:hint="eastAsia"/>
          <w:sz w:val="32"/>
          <w:szCs w:val="32"/>
        </w:rPr>
        <w:t>操作</w:t>
      </w:r>
      <w:r w:rsidRPr="0069418A">
        <w:rPr>
          <w:rFonts w:ascii="仿宋_GB2312" w:eastAsia="仿宋_GB2312" w:hAnsi="仿宋_GB2312" w:cs="仿宋_GB2312" w:hint="eastAsia"/>
          <w:sz w:val="32"/>
          <w:szCs w:val="32"/>
        </w:rPr>
        <w:t>人员变更，</w:t>
      </w:r>
      <w:bookmarkStart w:id="0" w:name="_GoBack"/>
      <w:bookmarkEnd w:id="0"/>
      <w:r w:rsidRPr="0069418A">
        <w:rPr>
          <w:rFonts w:ascii="仿宋_GB2312" w:eastAsia="仿宋_GB2312" w:hAnsi="仿宋_GB2312" w:cs="仿宋_GB2312" w:hint="eastAsia"/>
          <w:sz w:val="32"/>
          <w:szCs w:val="32"/>
        </w:rPr>
        <w:t>开户银行、账号、户名变更等，均应按市公积金中心的规定办理有关手续。</w:t>
      </w:r>
    </w:p>
    <w:sectPr w:rsidR="0053632B" w:rsidSect="0053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E3" w:rsidRDefault="007009E3" w:rsidP="00466620">
      <w:pPr>
        <w:ind w:firstLine="400"/>
      </w:pPr>
      <w:r>
        <w:separator/>
      </w:r>
    </w:p>
  </w:endnote>
  <w:endnote w:type="continuationSeparator" w:id="0">
    <w:p w:rsidR="007009E3" w:rsidRDefault="007009E3" w:rsidP="00466620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E3" w:rsidRDefault="007009E3" w:rsidP="00466620">
      <w:pPr>
        <w:ind w:firstLine="400"/>
      </w:pPr>
      <w:r>
        <w:separator/>
      </w:r>
    </w:p>
  </w:footnote>
  <w:footnote w:type="continuationSeparator" w:id="0">
    <w:p w:rsidR="007009E3" w:rsidRDefault="007009E3" w:rsidP="00466620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20"/>
    <w:rsid w:val="00466620"/>
    <w:rsid w:val="0053632B"/>
    <w:rsid w:val="0070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0"/>
    <w:pPr>
      <w:widowControl w:val="0"/>
      <w:ind w:firstLineChars="200" w:firstLine="21"/>
    </w:pPr>
    <w:rPr>
      <w:rFonts w:ascii="Times New Roman" w:eastAsia="宋体" w:hAnsi="Times New Roman" w:cs="Times New Roman"/>
      <w:noProof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620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noProof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620"/>
    <w:rPr>
      <w:sz w:val="18"/>
      <w:szCs w:val="18"/>
    </w:rPr>
  </w:style>
  <w:style w:type="character" w:styleId="a5">
    <w:name w:val="Hyperlink"/>
    <w:basedOn w:val="a0"/>
    <w:qFormat/>
    <w:rsid w:val="00466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hgjj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朱强</dc:creator>
  <cp:keywords/>
  <dc:description/>
  <cp:lastModifiedBy>朱强</cp:lastModifiedBy>
  <cp:revision>2</cp:revision>
  <dcterms:created xsi:type="dcterms:W3CDTF">2017-08-25T01:50:00Z</dcterms:created>
  <dcterms:modified xsi:type="dcterms:W3CDTF">2017-08-25T01:51:00Z</dcterms:modified>
</cp:coreProperties>
</file>